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374D2E" w14:textId="40F31919" w:rsidR="0034246A" w:rsidRPr="00125AE7" w:rsidRDefault="002D136C" w:rsidP="00254061">
      <w:pPr>
        <w:ind w:left="2880" w:firstLine="720"/>
        <w:rPr>
          <w:rFonts w:ascii="Times New Roman" w:hAnsi="Times New Roman" w:cs="Times New Roman"/>
          <w:b/>
          <w:bCs/>
          <w:sz w:val="28"/>
          <w:szCs w:val="28"/>
          <w:u w:val="single"/>
          <w:lang w:val="en-US"/>
        </w:rPr>
      </w:pPr>
      <w:r w:rsidRPr="00AE4109">
        <w:rPr>
          <w:rFonts w:ascii="Times New Roman" w:hAnsi="Times New Roman" w:cs="Times New Roman"/>
          <w:b/>
          <w:bCs/>
          <w:noProof/>
          <w:sz w:val="28"/>
          <w:szCs w:val="28"/>
          <w:lang w:val="en-US"/>
        </w:rPr>
        <w:drawing>
          <wp:anchor distT="0" distB="0" distL="114300" distR="114300" simplePos="0" relativeHeight="251659264" behindDoc="0" locked="0" layoutInCell="1" allowOverlap="1" wp14:anchorId="4916A41B" wp14:editId="0F3FB36D">
            <wp:simplePos x="0" y="0"/>
            <wp:positionH relativeFrom="page">
              <wp:align>center</wp:align>
            </wp:positionH>
            <wp:positionV relativeFrom="paragraph">
              <wp:posOffset>-324485</wp:posOffset>
            </wp:positionV>
            <wp:extent cx="1440611" cy="1440611"/>
            <wp:effectExtent l="0" t="0" r="7620" b="762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7A948124" w14:textId="77777777" w:rsidR="00911CB7" w:rsidRPr="00125AE7" w:rsidRDefault="00911CB7" w:rsidP="005104C3">
      <w:pPr>
        <w:rPr>
          <w:rFonts w:ascii="Times New Roman" w:hAnsi="Times New Roman" w:cs="Times New Roman"/>
          <w:b/>
          <w:bCs/>
          <w:sz w:val="28"/>
          <w:szCs w:val="28"/>
          <w:u w:val="single"/>
          <w:lang w:val="fr-FR"/>
        </w:rPr>
      </w:pPr>
    </w:p>
    <w:p w14:paraId="4DEAE6B2" w14:textId="77777777" w:rsidR="00911CB7" w:rsidRPr="00125AE7" w:rsidRDefault="00911CB7" w:rsidP="005104C3">
      <w:pPr>
        <w:rPr>
          <w:rFonts w:ascii="Times New Roman" w:hAnsi="Times New Roman" w:cs="Times New Roman"/>
          <w:b/>
          <w:bCs/>
          <w:sz w:val="28"/>
          <w:szCs w:val="28"/>
          <w:u w:val="single"/>
          <w:lang w:val="fr-FR"/>
        </w:rPr>
      </w:pPr>
    </w:p>
    <w:p w14:paraId="4BC1C5B7" w14:textId="77777777" w:rsidR="00911CB7" w:rsidRPr="00125AE7" w:rsidRDefault="00911CB7" w:rsidP="005104C3">
      <w:pPr>
        <w:rPr>
          <w:rFonts w:ascii="Times New Roman" w:hAnsi="Times New Roman" w:cs="Times New Roman"/>
          <w:b/>
          <w:bCs/>
          <w:sz w:val="28"/>
          <w:szCs w:val="28"/>
          <w:u w:val="single"/>
          <w:lang w:val="fr-FR"/>
        </w:rPr>
      </w:pPr>
    </w:p>
    <w:p w14:paraId="0A8A22D1" w14:textId="6DD2D1A6" w:rsidR="005104C3" w:rsidRPr="00125AE7" w:rsidRDefault="005104C3" w:rsidP="005104C3">
      <w:pPr>
        <w:rPr>
          <w:rFonts w:ascii="Times New Roman" w:hAnsi="Times New Roman" w:cs="Times New Roman"/>
          <w:b/>
          <w:bCs/>
          <w:sz w:val="28"/>
          <w:szCs w:val="28"/>
          <w:u w:val="single"/>
          <w:lang w:val="fr-FR"/>
        </w:rPr>
      </w:pPr>
      <w:r w:rsidRPr="00125AE7">
        <w:rPr>
          <w:rFonts w:ascii="Times New Roman" w:hAnsi="Times New Roman" w:cs="Times New Roman"/>
          <w:b/>
          <w:bCs/>
          <w:sz w:val="28"/>
          <w:szCs w:val="28"/>
          <w:u w:val="single"/>
          <w:lang w:val="fr-FR"/>
        </w:rPr>
        <w:t>NOTE EXPLICATIVE: POINT 2 DE L'ORDRE DU JOUR</w:t>
      </w:r>
    </w:p>
    <w:p w14:paraId="049956E6" w14:textId="5B4D211F" w:rsidR="009C2F13" w:rsidRPr="00125AE7" w:rsidRDefault="00E834B9" w:rsidP="005104C3">
      <w:pPr>
        <w:rPr>
          <w:rFonts w:ascii="Times New Roman" w:hAnsi="Times New Roman" w:cs="Times New Roman"/>
          <w:b/>
          <w:bCs/>
          <w:sz w:val="28"/>
          <w:szCs w:val="28"/>
          <w:u w:val="single"/>
          <w:lang w:val="fr-FR"/>
        </w:rPr>
      </w:pPr>
      <w:r w:rsidRPr="00125AE7">
        <w:rPr>
          <w:rFonts w:ascii="Times New Roman" w:eastAsia="Times New Roman" w:hAnsi="Times New Roman" w:cs="Times New Roman"/>
          <w:b/>
          <w:bCs/>
          <w:color w:val="000000"/>
          <w:sz w:val="28"/>
          <w:szCs w:val="28"/>
          <w:lang w:val="fr-FR" w:eastAsia="ru-RU" w:bidi="ar-DZ"/>
        </w:rPr>
        <w:t>MISE EN ŒUVRE D</w:t>
      </w:r>
      <w:r w:rsidR="00B73396">
        <w:rPr>
          <w:rFonts w:ascii="Times New Roman" w:eastAsia="Times New Roman" w:hAnsi="Times New Roman" w:cs="Times New Roman"/>
          <w:b/>
          <w:bCs/>
          <w:color w:val="000000"/>
          <w:sz w:val="28"/>
          <w:szCs w:val="28"/>
          <w:lang w:val="fr-FR" w:eastAsia="ru-RU" w:bidi="ar-DZ"/>
        </w:rPr>
        <w:t>U</w:t>
      </w:r>
      <w:r w:rsidRPr="00125AE7">
        <w:rPr>
          <w:rFonts w:ascii="Times New Roman" w:eastAsia="Times New Roman" w:hAnsi="Times New Roman" w:cs="Times New Roman"/>
          <w:b/>
          <w:bCs/>
          <w:color w:val="000000"/>
          <w:sz w:val="28"/>
          <w:szCs w:val="28"/>
          <w:lang w:val="fr-FR" w:eastAsia="ru-RU" w:bidi="ar-DZ"/>
        </w:rPr>
        <w:t xml:space="preserve"> PLAN D'ACTION DE L'OCI POUR LE DÉVELOPPEMENT DES PRODUITS STRATÉGIQUES</w:t>
      </w:r>
      <w:r w:rsidR="00F674C3" w:rsidRPr="00125AE7">
        <w:rPr>
          <w:rFonts w:ascii="Times New Roman" w:hAnsi="Times New Roman" w:cs="Times New Roman"/>
          <w:b/>
          <w:bCs/>
          <w:sz w:val="28"/>
          <w:szCs w:val="28"/>
          <w:u w:val="single"/>
          <w:lang w:val="fr-FR"/>
        </w:rPr>
        <w:t xml:space="preserve"> </w:t>
      </w:r>
    </w:p>
    <w:p w14:paraId="0D0380B0" w14:textId="5A6CA312" w:rsidR="006D50A6" w:rsidRPr="006D50A6" w:rsidRDefault="00E834B9" w:rsidP="00392511">
      <w:pPr>
        <w:pStyle w:val="a3"/>
        <w:numPr>
          <w:ilvl w:val="0"/>
          <w:numId w:val="18"/>
        </w:numPr>
        <w:spacing w:after="0"/>
        <w:ind w:left="567" w:hanging="425"/>
        <w:jc w:val="both"/>
        <w:rPr>
          <w:rFonts w:ascii="Times New Roman" w:eastAsia="Times New Roman" w:hAnsi="Times New Roman" w:cs="Times New Roman"/>
          <w:color w:val="000000"/>
          <w:sz w:val="28"/>
          <w:szCs w:val="28"/>
          <w:lang w:val="fr-FR" w:eastAsia="ru-RU" w:bidi="ar-DZ"/>
        </w:rPr>
      </w:pPr>
      <w:r w:rsidRPr="006D50A6">
        <w:rPr>
          <w:rFonts w:ascii="Times New Roman" w:eastAsia="Times New Roman" w:hAnsi="Times New Roman" w:cs="Times New Roman"/>
          <w:color w:val="000000"/>
          <w:sz w:val="28"/>
          <w:szCs w:val="28"/>
          <w:lang w:val="fr-FR" w:eastAsia="ru-RU" w:bidi="ar-DZ"/>
        </w:rPr>
        <w:t>Notes conceptuelles sur le Plan d'action de l'OCI pour le développement du Blé, du Riz et du Manioc</w:t>
      </w:r>
    </w:p>
    <w:p w14:paraId="75E3E0BB" w14:textId="77777777" w:rsidR="006D50A6" w:rsidRDefault="00E834B9" w:rsidP="00392511">
      <w:pPr>
        <w:pStyle w:val="a3"/>
        <w:numPr>
          <w:ilvl w:val="0"/>
          <w:numId w:val="18"/>
        </w:numPr>
        <w:spacing w:after="0"/>
        <w:ind w:left="567" w:hanging="425"/>
        <w:jc w:val="both"/>
        <w:rPr>
          <w:rFonts w:ascii="Times New Roman" w:eastAsia="Times New Roman" w:hAnsi="Times New Roman" w:cs="Times New Roman"/>
          <w:color w:val="000000"/>
          <w:sz w:val="28"/>
          <w:szCs w:val="28"/>
          <w:lang w:val="fr-FR" w:eastAsia="ru-RU" w:bidi="ar-DZ"/>
        </w:rPr>
      </w:pPr>
      <w:r w:rsidRPr="006D50A6">
        <w:rPr>
          <w:rFonts w:ascii="Times New Roman" w:eastAsia="Times New Roman" w:hAnsi="Times New Roman" w:cs="Times New Roman"/>
          <w:color w:val="000000"/>
          <w:sz w:val="28"/>
          <w:szCs w:val="28"/>
          <w:lang w:val="fr-FR" w:eastAsia="ru-RU" w:bidi="ar-DZ"/>
        </w:rPr>
        <w:t>Etqblissement de Centres d'Excellence</w:t>
      </w:r>
    </w:p>
    <w:p w14:paraId="3D8987EB" w14:textId="5DA74A8D" w:rsidR="00911CB7" w:rsidRPr="006D50A6" w:rsidRDefault="00E834B9" w:rsidP="00392511">
      <w:pPr>
        <w:pStyle w:val="a3"/>
        <w:numPr>
          <w:ilvl w:val="0"/>
          <w:numId w:val="18"/>
        </w:numPr>
        <w:spacing w:after="0"/>
        <w:ind w:left="567" w:hanging="425"/>
        <w:jc w:val="both"/>
        <w:rPr>
          <w:rFonts w:ascii="Times New Roman" w:eastAsia="Times New Roman" w:hAnsi="Times New Roman" w:cs="Times New Roman"/>
          <w:color w:val="000000"/>
          <w:sz w:val="28"/>
          <w:szCs w:val="28"/>
          <w:lang w:val="fr-FR" w:eastAsia="ru-RU" w:bidi="ar-DZ"/>
        </w:rPr>
      </w:pPr>
      <w:r w:rsidRPr="006D50A6">
        <w:rPr>
          <w:rFonts w:ascii="Times New Roman" w:eastAsia="Times New Roman" w:hAnsi="Times New Roman" w:cs="Times New Roman"/>
          <w:color w:val="000000"/>
          <w:sz w:val="28"/>
          <w:szCs w:val="28"/>
          <w:lang w:val="fr-FR" w:eastAsia="ru-RU" w:bidi="ar-DZ"/>
        </w:rPr>
        <w:t>Développement de l'Huile de palme (nouveau)</w:t>
      </w:r>
    </w:p>
    <w:p w14:paraId="51B86AC5" w14:textId="77777777" w:rsidR="00E834B9" w:rsidRPr="00125AE7" w:rsidRDefault="00E834B9" w:rsidP="009C2F13">
      <w:pPr>
        <w:rPr>
          <w:rFonts w:ascii="Times New Roman" w:hAnsi="Times New Roman" w:cs="Times New Roman"/>
          <w:b/>
          <w:bCs/>
          <w:sz w:val="28"/>
          <w:szCs w:val="28"/>
          <w:lang w:val="fr-FR"/>
        </w:rPr>
      </w:pPr>
    </w:p>
    <w:p w14:paraId="4A84ED88" w14:textId="29B7B201" w:rsidR="006D50A6" w:rsidRPr="006D50A6" w:rsidRDefault="006D50A6" w:rsidP="00392511">
      <w:pPr>
        <w:pStyle w:val="a3"/>
        <w:numPr>
          <w:ilvl w:val="0"/>
          <w:numId w:val="19"/>
        </w:numPr>
        <w:ind w:left="567" w:hanging="425"/>
        <w:jc w:val="both"/>
        <w:rPr>
          <w:rFonts w:ascii="Times New Roman" w:eastAsia="Times New Roman" w:hAnsi="Times New Roman" w:cs="Times New Roman"/>
          <w:color w:val="000000"/>
          <w:sz w:val="28"/>
          <w:szCs w:val="28"/>
          <w:lang w:val="fr-FR" w:eastAsia="ru-RU" w:bidi="ar-DZ"/>
        </w:rPr>
      </w:pPr>
      <w:r w:rsidRPr="006D50A6">
        <w:rPr>
          <w:rFonts w:ascii="Times New Roman" w:eastAsia="Times New Roman" w:hAnsi="Times New Roman" w:cs="Times New Roman"/>
          <w:color w:val="000000"/>
          <w:sz w:val="28"/>
          <w:szCs w:val="28"/>
          <w:lang w:val="fr-FR" w:eastAsia="ru-RU" w:bidi="ar-DZ"/>
        </w:rPr>
        <w:t>Notes conceptuelles sur le Plan d'action de l'OCI pour le développement du Blé, du Riz et du Manioc</w:t>
      </w:r>
    </w:p>
    <w:p w14:paraId="2EA00120" w14:textId="1FA62F2A" w:rsidR="00254061" w:rsidRPr="00AE093C" w:rsidRDefault="00254061" w:rsidP="009C2F13">
      <w:pPr>
        <w:rPr>
          <w:rFonts w:ascii="Times New Roman" w:hAnsi="Times New Roman" w:cs="Times New Roman"/>
          <w:b/>
          <w:bCs/>
          <w:sz w:val="28"/>
          <w:szCs w:val="28"/>
          <w:lang w:val="fr-FR"/>
        </w:rPr>
      </w:pPr>
      <w:r w:rsidRPr="00AE093C">
        <w:rPr>
          <w:rFonts w:ascii="Times New Roman" w:hAnsi="Times New Roman" w:cs="Times New Roman"/>
          <w:b/>
          <w:bCs/>
          <w:sz w:val="28"/>
          <w:szCs w:val="28"/>
          <w:lang w:val="fr-FR"/>
        </w:rPr>
        <w:t>Pr</w:t>
      </w:r>
      <w:r w:rsidR="005104C3" w:rsidRPr="00AE093C">
        <w:rPr>
          <w:rFonts w:ascii="Times New Roman" w:hAnsi="Times New Roman" w:cs="Times New Roman"/>
          <w:b/>
          <w:bCs/>
          <w:sz w:val="28"/>
          <w:szCs w:val="28"/>
          <w:lang w:val="fr-FR"/>
        </w:rPr>
        <w:t>é</w:t>
      </w:r>
      <w:r w:rsidRPr="00AE093C">
        <w:rPr>
          <w:rFonts w:ascii="Times New Roman" w:hAnsi="Times New Roman" w:cs="Times New Roman"/>
          <w:b/>
          <w:bCs/>
          <w:sz w:val="28"/>
          <w:szCs w:val="28"/>
          <w:lang w:val="fr-FR"/>
        </w:rPr>
        <w:t>amb</w:t>
      </w:r>
      <w:r w:rsidR="005104C3" w:rsidRPr="00AE093C">
        <w:rPr>
          <w:rFonts w:ascii="Times New Roman" w:hAnsi="Times New Roman" w:cs="Times New Roman"/>
          <w:b/>
          <w:bCs/>
          <w:sz w:val="28"/>
          <w:szCs w:val="28"/>
          <w:lang w:val="fr-FR"/>
        </w:rPr>
        <w:t>u</w:t>
      </w:r>
      <w:r w:rsidRPr="00AE093C">
        <w:rPr>
          <w:rFonts w:ascii="Times New Roman" w:hAnsi="Times New Roman" w:cs="Times New Roman"/>
          <w:b/>
          <w:bCs/>
          <w:sz w:val="28"/>
          <w:szCs w:val="28"/>
          <w:lang w:val="fr-FR"/>
        </w:rPr>
        <w:t>le</w:t>
      </w:r>
    </w:p>
    <w:p w14:paraId="29E5B0ED" w14:textId="01E97D67" w:rsidR="00E834B9" w:rsidRPr="00125AE7" w:rsidRDefault="00E834B9" w:rsidP="002D136C">
      <w:pPr>
        <w:jc w:val="both"/>
        <w:rPr>
          <w:rFonts w:ascii="Times New Roman" w:eastAsia="Times New Roman" w:hAnsi="Times New Roman" w:cs="Times New Roman"/>
          <w:sz w:val="28"/>
          <w:szCs w:val="28"/>
          <w:lang w:val="fr-FR"/>
        </w:rPr>
      </w:pPr>
      <w:r w:rsidRPr="00125AE7">
        <w:rPr>
          <w:rFonts w:ascii="Times New Roman" w:eastAsia="Times New Roman" w:hAnsi="Times New Roman" w:cs="Times New Roman"/>
          <w:sz w:val="28"/>
          <w:szCs w:val="28"/>
          <w:lang w:val="fr-FR"/>
        </w:rPr>
        <w:t>En donnant effet à la Résolution N° 1/46-E adoptée lors du 46e Conseil des Ministres des Affaires Etrangères tenu à Abu Dhabi les 1er et 2 mars 2019 ainsi qu'au mandat donné à l'OISA par le CMAE, le Secrétariat de l'OISA a développé les programmes respectifs sur le développement du Blé, du Riz et du Manioc.</w:t>
      </w:r>
    </w:p>
    <w:p w14:paraId="572322AE" w14:textId="3B4B0FC2" w:rsidR="00C41DFF" w:rsidRPr="00125AE7" w:rsidRDefault="00E834B9" w:rsidP="00C41DFF">
      <w:pPr>
        <w:jc w:val="both"/>
        <w:rPr>
          <w:rFonts w:ascii="Times New Roman" w:hAnsi="Times New Roman" w:cs="Times New Roman"/>
          <w:sz w:val="28"/>
          <w:szCs w:val="28"/>
          <w:lang w:val="fr-FR"/>
        </w:rPr>
      </w:pPr>
      <w:r w:rsidRPr="00125AE7">
        <w:rPr>
          <w:rFonts w:ascii="Times New Roman" w:hAnsi="Times New Roman" w:cs="Times New Roman"/>
          <w:sz w:val="28"/>
          <w:szCs w:val="28"/>
          <w:lang w:val="fr-FR"/>
        </w:rPr>
        <w:t>L'objectif principal des programmes est d'assurer l'autosuffisance des produits sélectionnés dans le plan à mi-parcours. Cela pourrait être mis en œuvre en augmentant la productivité, en accédant à des variétés de semences améliorées, en sensibilisant à l'agriculture modernisée, en renforçant les programmes de vulgarisation et en attirant les investissements. Afin d'accomplir ce mandat très important, l'OISA a lancé les programmes et souligné son rôle dans la réalisation d'une sécurité alimentaire durable. Renforcer la coopération intra-OCI pour améliorer la productivité des produits indiqués pour soutenir la disponibilité alimentaire et par conséquent augmenter le niveau de sécurité alimentaire.</w:t>
      </w:r>
    </w:p>
    <w:p w14:paraId="32E1F995" w14:textId="64BA1BDE" w:rsidR="00662EED" w:rsidRPr="006D50A6" w:rsidRDefault="005104C3" w:rsidP="00392511">
      <w:pPr>
        <w:pStyle w:val="a3"/>
        <w:numPr>
          <w:ilvl w:val="0"/>
          <w:numId w:val="19"/>
        </w:numPr>
        <w:spacing w:before="120" w:after="0"/>
        <w:ind w:left="426" w:hanging="426"/>
        <w:jc w:val="both"/>
        <w:rPr>
          <w:rFonts w:ascii="Times New Roman" w:hAnsi="Times New Roman" w:cs="Times New Roman"/>
          <w:sz w:val="28"/>
          <w:szCs w:val="28"/>
          <w:lang w:val="en-US"/>
        </w:rPr>
      </w:pPr>
      <w:r w:rsidRPr="006D50A6">
        <w:rPr>
          <w:rFonts w:ascii="Times New Roman" w:hAnsi="Times New Roman" w:cs="Times New Roman"/>
          <w:sz w:val="28"/>
          <w:szCs w:val="28"/>
          <w:lang w:val="en-US"/>
        </w:rPr>
        <w:t>Etablissement de Centres d'</w:t>
      </w:r>
      <w:r w:rsidR="00C46530" w:rsidRPr="006D50A6">
        <w:rPr>
          <w:rFonts w:ascii="Times New Roman" w:hAnsi="Times New Roman" w:cs="Times New Roman"/>
          <w:sz w:val="28"/>
          <w:szCs w:val="28"/>
          <w:lang w:val="en-US"/>
        </w:rPr>
        <w:t>E</w:t>
      </w:r>
      <w:r w:rsidRPr="006D50A6">
        <w:rPr>
          <w:rFonts w:ascii="Times New Roman" w:hAnsi="Times New Roman" w:cs="Times New Roman"/>
          <w:sz w:val="28"/>
          <w:szCs w:val="28"/>
          <w:lang w:val="en-US"/>
        </w:rPr>
        <w:t>xcellence</w:t>
      </w:r>
      <w:r w:rsidR="00662EED" w:rsidRPr="006D50A6">
        <w:rPr>
          <w:rFonts w:ascii="Times New Roman" w:hAnsi="Times New Roman" w:cs="Times New Roman"/>
          <w:sz w:val="28"/>
          <w:szCs w:val="28"/>
          <w:lang w:val="en-US"/>
        </w:rPr>
        <w:t xml:space="preserve"> </w:t>
      </w:r>
    </w:p>
    <w:p w14:paraId="27BE62A5" w14:textId="7E7B6B6B" w:rsidR="005104C3" w:rsidRPr="00125AE7" w:rsidRDefault="005104C3" w:rsidP="00C41DFF">
      <w:pPr>
        <w:spacing w:after="0"/>
        <w:jc w:val="both"/>
        <w:rPr>
          <w:rFonts w:ascii="Times New Roman" w:eastAsia="Times New Roman" w:hAnsi="Times New Roman" w:cs="Times New Roman"/>
          <w:sz w:val="28"/>
          <w:szCs w:val="28"/>
          <w:lang w:val="fr-FR"/>
        </w:rPr>
      </w:pPr>
      <w:r w:rsidRPr="00125AE7">
        <w:rPr>
          <w:rFonts w:ascii="Times New Roman" w:eastAsia="Times New Roman" w:hAnsi="Times New Roman" w:cs="Times New Roman"/>
          <w:sz w:val="28"/>
          <w:szCs w:val="28"/>
          <w:lang w:val="fr-FR"/>
        </w:rPr>
        <w:t>L'OISA a réalisé le besoin crucial de créer une plate-forme sur le développement de produits agricoles stratégiques (blé, manioc et riz) dans les États membres de l'OCI / OISA. À cet égard, l'OISA a proposé l'établissement de Centres d'</w:t>
      </w:r>
      <w:r w:rsidR="001E0C6A" w:rsidRPr="00125AE7">
        <w:rPr>
          <w:rFonts w:ascii="Times New Roman" w:eastAsia="Times New Roman" w:hAnsi="Times New Roman" w:cs="Times New Roman"/>
          <w:sz w:val="28"/>
          <w:szCs w:val="28"/>
          <w:lang w:val="fr-FR"/>
        </w:rPr>
        <w:t>E</w:t>
      </w:r>
      <w:r w:rsidRPr="00125AE7">
        <w:rPr>
          <w:rFonts w:ascii="Times New Roman" w:eastAsia="Times New Roman" w:hAnsi="Times New Roman" w:cs="Times New Roman"/>
          <w:sz w:val="28"/>
          <w:szCs w:val="28"/>
          <w:lang w:val="fr-FR"/>
        </w:rPr>
        <w:t>xcellence dans des sous-régions clés pour chacun des trois produits sélectionnés. Ces centres fonctionneraient à leur tour pour mener et coordonner des programmes de formation et de recherche entre les États membres.</w:t>
      </w:r>
    </w:p>
    <w:p w14:paraId="6EEDA255" w14:textId="02BD41B4" w:rsidR="00662EED" w:rsidRPr="00125AE7" w:rsidRDefault="005104C3" w:rsidP="002D136C">
      <w:pPr>
        <w:jc w:val="both"/>
        <w:rPr>
          <w:rFonts w:ascii="Times New Roman" w:hAnsi="Times New Roman" w:cs="Times New Roman"/>
          <w:sz w:val="28"/>
          <w:szCs w:val="28"/>
          <w:lang w:val="fr-FR"/>
        </w:rPr>
      </w:pPr>
      <w:r w:rsidRPr="00125AE7">
        <w:rPr>
          <w:rFonts w:ascii="Times New Roman" w:eastAsia="Times New Roman" w:hAnsi="Times New Roman" w:cs="Times New Roman"/>
          <w:sz w:val="28"/>
          <w:szCs w:val="28"/>
          <w:lang w:val="fr-FR"/>
        </w:rPr>
        <w:t xml:space="preserve">Actuellement, il existe trois programmes exécutés par l'OISA pour le développement de produits stratégiques concernant le </w:t>
      </w:r>
      <w:r w:rsidR="001E0C6A" w:rsidRPr="00125AE7">
        <w:rPr>
          <w:rFonts w:ascii="Times New Roman" w:eastAsia="Times New Roman" w:hAnsi="Times New Roman" w:cs="Times New Roman"/>
          <w:sz w:val="28"/>
          <w:szCs w:val="28"/>
          <w:lang w:val="fr-FR"/>
        </w:rPr>
        <w:t>B</w:t>
      </w:r>
      <w:r w:rsidRPr="00125AE7">
        <w:rPr>
          <w:rFonts w:ascii="Times New Roman" w:eastAsia="Times New Roman" w:hAnsi="Times New Roman" w:cs="Times New Roman"/>
          <w:sz w:val="28"/>
          <w:szCs w:val="28"/>
          <w:lang w:val="fr-FR"/>
        </w:rPr>
        <w:t xml:space="preserve">lé, le </w:t>
      </w:r>
      <w:r w:rsidR="001E0C6A" w:rsidRPr="00125AE7">
        <w:rPr>
          <w:rFonts w:ascii="Times New Roman" w:eastAsia="Times New Roman" w:hAnsi="Times New Roman" w:cs="Times New Roman"/>
          <w:sz w:val="28"/>
          <w:szCs w:val="28"/>
          <w:lang w:val="fr-FR"/>
        </w:rPr>
        <w:t>R</w:t>
      </w:r>
      <w:r w:rsidRPr="00125AE7">
        <w:rPr>
          <w:rFonts w:ascii="Times New Roman" w:eastAsia="Times New Roman" w:hAnsi="Times New Roman" w:cs="Times New Roman"/>
          <w:sz w:val="28"/>
          <w:szCs w:val="28"/>
          <w:lang w:val="fr-FR"/>
        </w:rPr>
        <w:t xml:space="preserve">iz et le </w:t>
      </w:r>
      <w:r w:rsidR="001E0C6A" w:rsidRPr="00125AE7">
        <w:rPr>
          <w:rFonts w:ascii="Times New Roman" w:eastAsia="Times New Roman" w:hAnsi="Times New Roman" w:cs="Times New Roman"/>
          <w:sz w:val="28"/>
          <w:szCs w:val="28"/>
          <w:lang w:val="fr-FR"/>
        </w:rPr>
        <w:t>M</w:t>
      </w:r>
      <w:r w:rsidRPr="00125AE7">
        <w:rPr>
          <w:rFonts w:ascii="Times New Roman" w:eastAsia="Times New Roman" w:hAnsi="Times New Roman" w:cs="Times New Roman"/>
          <w:sz w:val="28"/>
          <w:szCs w:val="28"/>
          <w:lang w:val="fr-FR"/>
        </w:rPr>
        <w:t xml:space="preserve">anioc. </w:t>
      </w:r>
      <w:r w:rsidR="001E0C6A" w:rsidRPr="00125AE7">
        <w:rPr>
          <w:rFonts w:ascii="Times New Roman" w:eastAsia="Times New Roman" w:hAnsi="Times New Roman" w:cs="Times New Roman"/>
          <w:sz w:val="28"/>
          <w:szCs w:val="28"/>
          <w:lang w:val="fr-FR"/>
        </w:rPr>
        <w:t xml:space="preserve">Les réunions </w:t>
      </w:r>
      <w:r w:rsidR="001E0C6A" w:rsidRPr="00125AE7">
        <w:rPr>
          <w:rFonts w:ascii="Times New Roman" w:eastAsia="Times New Roman" w:hAnsi="Times New Roman" w:cs="Times New Roman"/>
          <w:sz w:val="28"/>
          <w:szCs w:val="28"/>
          <w:lang w:val="fr-FR"/>
        </w:rPr>
        <w:lastRenderedPageBreak/>
        <w:t>inaugurales du CdE pour le développement du Blé et du Riz ont eu lieu en octobre 2020, accueillies par la République du Kazakhstan, et qui ont réuni les institutions pertinentes de l'OISA / de l'OCI et les États membres pour discuter du développement des activités des CdE. Dans le même esprit, des réunions de Groupe de travail entre l'OISA et la BID ont été convoquées pour discuter des possibilités de coordination dans le cadre du CdE</w:t>
      </w:r>
      <w:r w:rsidR="00976453" w:rsidRPr="00125AE7">
        <w:rPr>
          <w:rFonts w:ascii="Times New Roman" w:hAnsi="Times New Roman" w:cs="Times New Roman"/>
          <w:sz w:val="28"/>
          <w:szCs w:val="28"/>
          <w:lang w:val="fr-FR"/>
        </w:rPr>
        <w:t>.</w:t>
      </w:r>
      <w:r w:rsidR="00D758A4" w:rsidRPr="00125AE7">
        <w:rPr>
          <w:rFonts w:ascii="Times New Roman" w:hAnsi="Times New Roman" w:cs="Times New Roman"/>
          <w:sz w:val="28"/>
          <w:szCs w:val="28"/>
          <w:lang w:val="fr-FR"/>
        </w:rPr>
        <w:t xml:space="preserve"> </w:t>
      </w:r>
    </w:p>
    <w:p w14:paraId="318E4692" w14:textId="522A0DE5" w:rsidR="001E0C6A" w:rsidRPr="00125AE7" w:rsidRDefault="001E0C6A" w:rsidP="002D136C">
      <w:pPr>
        <w:jc w:val="both"/>
        <w:rPr>
          <w:rFonts w:ascii="Times New Roman" w:hAnsi="Times New Roman" w:cs="Times New Roman"/>
          <w:sz w:val="28"/>
          <w:szCs w:val="28"/>
          <w:lang w:val="fr-FR"/>
        </w:rPr>
      </w:pPr>
      <w:r w:rsidRPr="00125AE7">
        <w:rPr>
          <w:rFonts w:ascii="Times New Roman" w:hAnsi="Times New Roman" w:cs="Times New Roman"/>
          <w:sz w:val="28"/>
          <w:szCs w:val="28"/>
          <w:lang w:val="fr-FR"/>
        </w:rPr>
        <w:t>Afin d'assurer la pérennité du CdE régional, il est nécessaire de suivre le mécanisme précis de fonctionnement et de prévoir de maintenir le financement continu des projets ou activités. Le CdE régional est considéré comme un panier alimentaire et une source de soutien agricole grâce à l'utilisation des technologies numériques et de l'information de pointe. Il est également proposé de partir des CdE régionaux pilotes et de faire l'objet d'une analyse et d'une évaluation. Le fonctionnement des CdE régionaux serait mis en place progressivement. Ces questions peuvent faire l'objet d'une étude de faisabilité basée sur un terme de référence préparé qui garantit la réussite du projet.</w:t>
      </w:r>
    </w:p>
    <w:p w14:paraId="381299B1" w14:textId="4D4CB043" w:rsidR="00662EED" w:rsidRPr="005D05F1" w:rsidRDefault="005104C3" w:rsidP="00392511">
      <w:pPr>
        <w:pStyle w:val="a3"/>
        <w:numPr>
          <w:ilvl w:val="0"/>
          <w:numId w:val="19"/>
        </w:numPr>
        <w:spacing w:after="0"/>
        <w:ind w:left="426" w:hanging="426"/>
        <w:jc w:val="both"/>
        <w:rPr>
          <w:rFonts w:ascii="Times New Roman" w:hAnsi="Times New Roman" w:cs="Times New Roman"/>
          <w:sz w:val="28"/>
          <w:szCs w:val="28"/>
          <w:lang w:val="fr-FR"/>
        </w:rPr>
      </w:pPr>
      <w:r w:rsidRPr="005D05F1">
        <w:rPr>
          <w:rFonts w:ascii="Times New Roman" w:hAnsi="Times New Roman" w:cs="Times New Roman"/>
          <w:sz w:val="28"/>
          <w:szCs w:val="28"/>
          <w:lang w:val="fr-FR"/>
        </w:rPr>
        <w:t>Développement de l'</w:t>
      </w:r>
      <w:r w:rsidR="00C46530" w:rsidRPr="005D05F1">
        <w:rPr>
          <w:rFonts w:ascii="Times New Roman" w:hAnsi="Times New Roman" w:cs="Times New Roman"/>
          <w:sz w:val="28"/>
          <w:szCs w:val="28"/>
          <w:lang w:val="fr-FR"/>
        </w:rPr>
        <w:t>H</w:t>
      </w:r>
      <w:r w:rsidRPr="005D05F1">
        <w:rPr>
          <w:rFonts w:ascii="Times New Roman" w:hAnsi="Times New Roman" w:cs="Times New Roman"/>
          <w:sz w:val="28"/>
          <w:szCs w:val="28"/>
          <w:lang w:val="fr-FR"/>
        </w:rPr>
        <w:t>uile de palme</w:t>
      </w:r>
      <w:r w:rsidR="00911CB7" w:rsidRPr="005D05F1">
        <w:rPr>
          <w:rFonts w:ascii="Times New Roman" w:hAnsi="Times New Roman" w:cs="Times New Roman"/>
          <w:sz w:val="28"/>
          <w:szCs w:val="28"/>
          <w:lang w:val="fr-FR"/>
        </w:rPr>
        <w:t xml:space="preserve"> (nouveau</w:t>
      </w:r>
      <w:r w:rsidR="00662EED" w:rsidRPr="005D05F1">
        <w:rPr>
          <w:rFonts w:ascii="Times New Roman" w:hAnsi="Times New Roman" w:cs="Times New Roman"/>
          <w:sz w:val="28"/>
          <w:szCs w:val="28"/>
          <w:lang w:val="fr-FR"/>
        </w:rPr>
        <w:t>)</w:t>
      </w:r>
    </w:p>
    <w:p w14:paraId="38BB53FE" w14:textId="77777777" w:rsidR="00911CB7" w:rsidRPr="00125AE7" w:rsidRDefault="00911CB7" w:rsidP="00C41DFF">
      <w:pPr>
        <w:spacing w:after="0"/>
        <w:jc w:val="both"/>
        <w:rPr>
          <w:rFonts w:ascii="Times New Roman" w:hAnsi="Times New Roman" w:cs="Times New Roman"/>
          <w:sz w:val="28"/>
          <w:szCs w:val="28"/>
          <w:lang w:val="fr-FR"/>
        </w:rPr>
      </w:pPr>
      <w:r w:rsidRPr="00125AE7">
        <w:rPr>
          <w:rFonts w:ascii="Times New Roman" w:hAnsi="Times New Roman" w:cs="Times New Roman"/>
          <w:sz w:val="28"/>
          <w:szCs w:val="28"/>
          <w:lang w:val="fr-FR"/>
        </w:rPr>
        <w:t>Parallèlement, le Secrétariat étudie également le cadre de coopération multilatérale qui contribuerait au développement de la chaîne de valeur de l'huile de palme.</w:t>
      </w:r>
    </w:p>
    <w:p w14:paraId="0592189C" w14:textId="77777777" w:rsidR="00911CB7" w:rsidRPr="00125AE7" w:rsidRDefault="00911CB7" w:rsidP="002D136C">
      <w:pPr>
        <w:jc w:val="both"/>
        <w:rPr>
          <w:rFonts w:ascii="Times New Roman" w:hAnsi="Times New Roman" w:cs="Times New Roman"/>
          <w:sz w:val="28"/>
          <w:szCs w:val="28"/>
          <w:lang w:val="fr-FR"/>
        </w:rPr>
      </w:pPr>
      <w:r w:rsidRPr="00125AE7">
        <w:rPr>
          <w:rFonts w:ascii="Times New Roman" w:hAnsi="Times New Roman" w:cs="Times New Roman"/>
          <w:sz w:val="28"/>
          <w:szCs w:val="28"/>
          <w:lang w:val="fr-FR"/>
        </w:rPr>
        <w:t>Suite à l'approbation du Programme de l'OCI mentionné, les efforts se concentrant sur le développement de l'huile de palme comme l'un des produits stratégiques les plus importants dans les États membres de l'OCI. L'expansion des plantations de palmiers à huile avec certaines régions géographiques d'Asie et d'Afrique. L'assurance de déploiement de la liaison inversée et du mécanisme de transfert de technologie entre les principaux développeurs d'huile de palme de l'OCI et les développeurs émergents renforcera le développement et l'acceptation large de ce produit important.</w:t>
      </w:r>
    </w:p>
    <w:p w14:paraId="50C6CA46" w14:textId="77777777" w:rsidR="00911CB7" w:rsidRPr="00125AE7" w:rsidRDefault="00911CB7" w:rsidP="002D136C">
      <w:pPr>
        <w:jc w:val="both"/>
        <w:rPr>
          <w:rFonts w:ascii="Times New Roman" w:hAnsi="Times New Roman" w:cs="Times New Roman"/>
          <w:sz w:val="28"/>
          <w:szCs w:val="28"/>
          <w:lang w:val="fr-FR"/>
        </w:rPr>
      </w:pPr>
      <w:r w:rsidRPr="00125AE7">
        <w:rPr>
          <w:rFonts w:ascii="Times New Roman" w:hAnsi="Times New Roman" w:cs="Times New Roman"/>
          <w:sz w:val="28"/>
          <w:szCs w:val="28"/>
          <w:lang w:val="fr-FR"/>
        </w:rPr>
        <w:t>L'OISA, avec ses programmes ambitieux consacrés à la réalisation d'une sécurité alimentaire résiliente, invite les Pays Membres de l'OCI à coopérer. Dans la même veine, l'OISA invite d'autres institutions de l'OCI, à savoir la BID, l'ICESCO et COMSTECH, à coopérer dans les programmes mentionnés.</w:t>
      </w:r>
    </w:p>
    <w:p w14:paraId="02875953" w14:textId="2EC6566E" w:rsidR="00F476F9" w:rsidRPr="00125AE7" w:rsidRDefault="00911CB7" w:rsidP="006D50A6">
      <w:pPr>
        <w:spacing w:after="0"/>
        <w:jc w:val="both"/>
        <w:rPr>
          <w:rFonts w:ascii="Times New Roman" w:hAnsi="Times New Roman" w:cs="Times New Roman"/>
          <w:b/>
          <w:bCs/>
          <w:sz w:val="28"/>
          <w:szCs w:val="28"/>
          <w:lang w:val="fr-FR"/>
        </w:rPr>
      </w:pPr>
      <w:r w:rsidRPr="00125AE7">
        <w:rPr>
          <w:rFonts w:ascii="Times New Roman" w:hAnsi="Times New Roman" w:cs="Times New Roman"/>
          <w:b/>
          <w:bCs/>
          <w:sz w:val="28"/>
          <w:szCs w:val="28"/>
          <w:lang w:val="fr-FR"/>
        </w:rPr>
        <w:t>L</w:t>
      </w:r>
      <w:r w:rsidR="001E0C6A" w:rsidRPr="00125AE7">
        <w:rPr>
          <w:rFonts w:ascii="Times New Roman" w:hAnsi="Times New Roman" w:cs="Times New Roman"/>
          <w:b/>
          <w:bCs/>
          <w:sz w:val="28"/>
          <w:szCs w:val="28"/>
          <w:lang w:val="fr-FR"/>
        </w:rPr>
        <w:t>e</w:t>
      </w:r>
      <w:r w:rsidRPr="00125AE7">
        <w:rPr>
          <w:rFonts w:ascii="Times New Roman" w:hAnsi="Times New Roman" w:cs="Times New Roman"/>
          <w:b/>
          <w:bCs/>
          <w:sz w:val="28"/>
          <w:szCs w:val="28"/>
          <w:lang w:val="fr-FR"/>
        </w:rPr>
        <w:t xml:space="preserve"> suiv</w:t>
      </w:r>
      <w:r w:rsidR="00B140FD" w:rsidRPr="00125AE7">
        <w:rPr>
          <w:rFonts w:ascii="Times New Roman" w:hAnsi="Times New Roman" w:cs="Times New Roman"/>
          <w:b/>
          <w:bCs/>
          <w:sz w:val="28"/>
          <w:szCs w:val="28"/>
          <w:lang w:val="fr-FR"/>
        </w:rPr>
        <w:t>i</w:t>
      </w:r>
    </w:p>
    <w:p w14:paraId="377D6AC0" w14:textId="18668273" w:rsidR="00911CB7" w:rsidRDefault="00911CB7" w:rsidP="006D50A6">
      <w:pPr>
        <w:spacing w:after="0"/>
        <w:jc w:val="both"/>
        <w:rPr>
          <w:rFonts w:ascii="Times New Roman" w:hAnsi="Times New Roman" w:cs="Times New Roman"/>
          <w:sz w:val="28"/>
          <w:szCs w:val="28"/>
          <w:lang w:val="fr-FR"/>
        </w:rPr>
      </w:pPr>
      <w:r w:rsidRPr="00125AE7">
        <w:rPr>
          <w:rFonts w:ascii="Times New Roman" w:hAnsi="Times New Roman" w:cs="Times New Roman"/>
          <w:sz w:val="28"/>
          <w:szCs w:val="28"/>
          <w:lang w:val="fr-FR"/>
        </w:rPr>
        <w:t xml:space="preserve">À la suite de l’expérience réussie du développement du coton dans l’OCI, le Secrétariat attribue un rôle central aux Centres d’Excellence en vue de renforcer les capacités techniques et industrielles des institutions des États membres et de mettre en commun les ressources dans les secteurs technologique et scientifique. </w:t>
      </w:r>
      <w:r w:rsidR="00504F03" w:rsidRPr="00125AE7">
        <w:rPr>
          <w:rFonts w:ascii="Times New Roman" w:hAnsi="Times New Roman" w:cs="Times New Roman"/>
          <w:sz w:val="28"/>
          <w:szCs w:val="28"/>
          <w:lang w:val="fr-FR"/>
        </w:rPr>
        <w:t xml:space="preserve">Les Centres d'Excellence proposés ont été désignés dans des régions clés pour chacun des trois produits sélectionnés, leur composition et leur structure couvrent 41 pays (24 États membres de l'OISA et 17 pays non membres). La Turquie, le Kazakhstan, le Sénégal, l'Indonésie et le Nigéria ont gracieusement accepté servir de CdE dans leurs régions. En octobre 2020, les premières réunions inaugurales des CdE du </w:t>
      </w:r>
      <w:r w:rsidR="00504F03" w:rsidRPr="00125AE7">
        <w:rPr>
          <w:rFonts w:ascii="Times New Roman" w:hAnsi="Times New Roman" w:cs="Times New Roman"/>
          <w:sz w:val="28"/>
          <w:szCs w:val="28"/>
          <w:lang w:val="fr-FR"/>
        </w:rPr>
        <w:lastRenderedPageBreak/>
        <w:t>Kazakhstan pour le Blé et le Riz ont été discutées sur la coordination et les questions connexes</w:t>
      </w:r>
      <w:r w:rsidRPr="00125AE7">
        <w:rPr>
          <w:rFonts w:ascii="Times New Roman" w:hAnsi="Times New Roman" w:cs="Times New Roman"/>
          <w:sz w:val="28"/>
          <w:szCs w:val="28"/>
          <w:lang w:val="fr-FR"/>
        </w:rPr>
        <w:t>.</w:t>
      </w:r>
    </w:p>
    <w:p w14:paraId="2FA72BE0" w14:textId="77777777" w:rsidR="00C41DFF" w:rsidRPr="00125AE7" w:rsidRDefault="00C41DFF" w:rsidP="006D50A6">
      <w:pPr>
        <w:spacing w:after="0"/>
        <w:jc w:val="both"/>
        <w:rPr>
          <w:rFonts w:ascii="Times New Roman" w:hAnsi="Times New Roman" w:cs="Times New Roman"/>
          <w:sz w:val="28"/>
          <w:szCs w:val="28"/>
          <w:lang w:val="fr-FR"/>
        </w:rPr>
      </w:pPr>
    </w:p>
    <w:p w14:paraId="31B972EA" w14:textId="4871019F" w:rsidR="002D136C" w:rsidRDefault="00911CB7" w:rsidP="002D136C">
      <w:pPr>
        <w:jc w:val="both"/>
        <w:rPr>
          <w:rFonts w:ascii="Times New Roman" w:hAnsi="Times New Roman" w:cs="Times New Roman"/>
          <w:sz w:val="28"/>
          <w:szCs w:val="28"/>
          <w:lang w:val="fr-FR"/>
        </w:rPr>
      </w:pPr>
      <w:r w:rsidRPr="00125AE7">
        <w:rPr>
          <w:rFonts w:ascii="Times New Roman" w:hAnsi="Times New Roman" w:cs="Times New Roman"/>
          <w:sz w:val="28"/>
          <w:szCs w:val="28"/>
          <w:lang w:val="fr-FR"/>
        </w:rPr>
        <w:t>En ce qui concerne le développement de la chaîne de valeur de l'huile de palme, il est envisagé que la création d'un Comité de pilotage et de Centres d'Excellence similaires contribuera à identifier les priorités pour le développement de son programme.</w:t>
      </w:r>
    </w:p>
    <w:p w14:paraId="3597A45C" w14:textId="1AE57694" w:rsidR="00C23BC5" w:rsidRPr="00C23BC5" w:rsidRDefault="00C23BC5" w:rsidP="002D136C">
      <w:pPr>
        <w:jc w:val="both"/>
        <w:rPr>
          <w:rFonts w:ascii="Times New Roman" w:hAnsi="Times New Roman" w:cs="Times New Roman"/>
          <w:b/>
          <w:bCs/>
          <w:sz w:val="28"/>
          <w:szCs w:val="28"/>
          <w:lang w:val="fr-FR"/>
        </w:rPr>
      </w:pPr>
      <w:r w:rsidRPr="00C23BC5">
        <w:rPr>
          <w:rFonts w:ascii="Times New Roman" w:hAnsi="Times New Roman" w:cs="Times New Roman"/>
          <w:b/>
          <w:bCs/>
          <w:sz w:val="28"/>
          <w:szCs w:val="28"/>
          <w:lang w:val="fr-FR"/>
        </w:rPr>
        <w:t>La conclusion</w:t>
      </w:r>
    </w:p>
    <w:p w14:paraId="7002C17D" w14:textId="16AECDE6" w:rsidR="00C23BC5" w:rsidRPr="002D136C" w:rsidRDefault="00C23BC5" w:rsidP="002D136C">
      <w:pPr>
        <w:jc w:val="both"/>
        <w:rPr>
          <w:rFonts w:ascii="Times New Roman" w:hAnsi="Times New Roman" w:cs="Times New Roman"/>
          <w:sz w:val="28"/>
          <w:szCs w:val="28"/>
          <w:lang w:val="fr-FR"/>
        </w:rPr>
      </w:pPr>
      <w:r w:rsidRPr="00C23BC5">
        <w:rPr>
          <w:rFonts w:ascii="Times New Roman" w:hAnsi="Times New Roman" w:cs="Times New Roman"/>
          <w:sz w:val="28"/>
          <w:szCs w:val="28"/>
          <w:lang w:val="fr-FR"/>
        </w:rPr>
        <w:t>L'Assemblée Générale sera invitée à approuver le Plan d'action proposé pour le développement de chaque produit stratégique (blé, riz, manioc) et Huile de palme</w:t>
      </w:r>
      <w:r>
        <w:rPr>
          <w:rFonts w:ascii="Times New Roman" w:hAnsi="Times New Roman" w:cs="Times New Roman"/>
          <w:sz w:val="28"/>
          <w:szCs w:val="28"/>
          <w:lang w:val="fr-FR"/>
        </w:rPr>
        <w:t>.</w:t>
      </w:r>
    </w:p>
    <w:p w14:paraId="4E13D1DB" w14:textId="55B8F12C" w:rsidR="006D50A6" w:rsidRDefault="000B0126" w:rsidP="006D50A6">
      <w:pPr>
        <w:spacing w:after="0" w:line="240" w:lineRule="auto"/>
        <w:jc w:val="both"/>
        <w:rPr>
          <w:rFonts w:ascii="Times New Roman" w:hAnsi="Times New Roman" w:cs="Times New Roman"/>
          <w:sz w:val="28"/>
          <w:szCs w:val="28"/>
          <w:lang w:val="fr-FR"/>
        </w:rPr>
      </w:pPr>
      <w:r w:rsidRPr="00125AE7">
        <w:rPr>
          <w:rFonts w:ascii="Times New Roman" w:hAnsi="Times New Roman" w:cs="Times New Roman"/>
          <w:sz w:val="28"/>
          <w:szCs w:val="28"/>
          <w:lang w:val="fr-FR"/>
        </w:rPr>
        <w:t xml:space="preserve"> </w:t>
      </w:r>
    </w:p>
    <w:p w14:paraId="59438BA3" w14:textId="0F50E3A7" w:rsidR="006D50A6" w:rsidRDefault="006D50A6" w:rsidP="006D50A6">
      <w:pPr>
        <w:spacing w:after="0" w:line="240" w:lineRule="auto"/>
        <w:jc w:val="both"/>
        <w:rPr>
          <w:rFonts w:ascii="Times New Roman" w:hAnsi="Times New Roman" w:cs="Times New Roman"/>
          <w:sz w:val="28"/>
          <w:szCs w:val="28"/>
          <w:lang w:val="fr-FR"/>
        </w:rPr>
      </w:pPr>
    </w:p>
    <w:p w14:paraId="2D3A45AD" w14:textId="77777777" w:rsidR="006D50A6" w:rsidRDefault="006D50A6" w:rsidP="006D50A6">
      <w:pPr>
        <w:spacing w:after="0" w:line="240" w:lineRule="auto"/>
        <w:jc w:val="both"/>
        <w:rPr>
          <w:rFonts w:ascii="Times New Roman" w:hAnsi="Times New Roman" w:cs="Times New Roman"/>
          <w:sz w:val="28"/>
          <w:szCs w:val="28"/>
          <w:lang w:val="fr-FR"/>
        </w:rPr>
      </w:pPr>
    </w:p>
    <w:p w14:paraId="629AAADD" w14:textId="4C8EB164" w:rsidR="002D136C" w:rsidRPr="002D136C" w:rsidRDefault="002D136C" w:rsidP="002D136C">
      <w:pPr>
        <w:jc w:val="both"/>
        <w:rPr>
          <w:rFonts w:ascii="Times New Roman" w:eastAsia="Calibri" w:hAnsi="Times New Roman" w:cs="Times New Roman"/>
          <w:b/>
          <w:bCs/>
          <w:sz w:val="28"/>
          <w:szCs w:val="28"/>
          <w:lang w:val="fr-FR"/>
        </w:rPr>
      </w:pPr>
    </w:p>
    <w:sectPr w:rsidR="002D136C" w:rsidRPr="002D136C" w:rsidSect="000749EB">
      <w:footerReference w:type="default" r:id="rId9"/>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7015D" w14:textId="77777777" w:rsidR="00816DF4" w:rsidRDefault="00816DF4" w:rsidP="0059348B">
      <w:pPr>
        <w:spacing w:after="0" w:line="240" w:lineRule="auto"/>
      </w:pPr>
      <w:r>
        <w:separator/>
      </w:r>
    </w:p>
  </w:endnote>
  <w:endnote w:type="continuationSeparator" w:id="0">
    <w:p w14:paraId="695781E3" w14:textId="77777777" w:rsidR="00816DF4" w:rsidRDefault="00816DF4" w:rsidP="00593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88F19" w14:textId="124720C0" w:rsidR="0059348B" w:rsidRDefault="0059348B">
    <w:pPr>
      <w:pStyle w:val="a8"/>
      <w:jc w:val="right"/>
    </w:pPr>
  </w:p>
  <w:p w14:paraId="6189BEC7" w14:textId="77777777" w:rsidR="0059348B" w:rsidRDefault="0059348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03A9F" w14:textId="77777777" w:rsidR="00816DF4" w:rsidRDefault="00816DF4" w:rsidP="0059348B">
      <w:pPr>
        <w:spacing w:after="0" w:line="240" w:lineRule="auto"/>
      </w:pPr>
      <w:r>
        <w:separator/>
      </w:r>
    </w:p>
  </w:footnote>
  <w:footnote w:type="continuationSeparator" w:id="0">
    <w:p w14:paraId="51241708" w14:textId="77777777" w:rsidR="00816DF4" w:rsidRDefault="00816DF4" w:rsidP="005934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4092D"/>
    <w:multiLevelType w:val="hybridMultilevel"/>
    <w:tmpl w:val="0C9E489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B8137B"/>
    <w:multiLevelType w:val="hybridMultilevel"/>
    <w:tmpl w:val="7A42C4CA"/>
    <w:lvl w:ilvl="0" w:tplc="0F54846A">
      <w:start w:val="1"/>
      <w:numFmt w:val="low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221D59B4"/>
    <w:multiLevelType w:val="hybridMultilevel"/>
    <w:tmpl w:val="1152C2AA"/>
    <w:lvl w:ilvl="0" w:tplc="8402A5B2">
      <w:start w:val="1"/>
      <w:numFmt w:val="lowerLetter"/>
      <w:lvlText w:val="(%1)"/>
      <w:lvlJc w:val="left"/>
      <w:pPr>
        <w:ind w:left="-416" w:hanging="360"/>
      </w:pPr>
      <w:rPr>
        <w:rFonts w:hint="default"/>
        <w:i/>
        <w:iCs/>
      </w:rPr>
    </w:lvl>
    <w:lvl w:ilvl="1" w:tplc="04190019" w:tentative="1">
      <w:start w:val="1"/>
      <w:numFmt w:val="lowerLetter"/>
      <w:lvlText w:val="%2."/>
      <w:lvlJc w:val="left"/>
      <w:pPr>
        <w:ind w:left="304" w:hanging="360"/>
      </w:pPr>
    </w:lvl>
    <w:lvl w:ilvl="2" w:tplc="0419001B" w:tentative="1">
      <w:start w:val="1"/>
      <w:numFmt w:val="lowerRoman"/>
      <w:lvlText w:val="%3."/>
      <w:lvlJc w:val="right"/>
      <w:pPr>
        <w:ind w:left="1024" w:hanging="180"/>
      </w:pPr>
    </w:lvl>
    <w:lvl w:ilvl="3" w:tplc="0419000F" w:tentative="1">
      <w:start w:val="1"/>
      <w:numFmt w:val="decimal"/>
      <w:lvlText w:val="%4."/>
      <w:lvlJc w:val="left"/>
      <w:pPr>
        <w:ind w:left="1744" w:hanging="360"/>
      </w:pPr>
    </w:lvl>
    <w:lvl w:ilvl="4" w:tplc="04190019" w:tentative="1">
      <w:start w:val="1"/>
      <w:numFmt w:val="lowerLetter"/>
      <w:lvlText w:val="%5."/>
      <w:lvlJc w:val="left"/>
      <w:pPr>
        <w:ind w:left="2464" w:hanging="360"/>
      </w:pPr>
    </w:lvl>
    <w:lvl w:ilvl="5" w:tplc="0419001B" w:tentative="1">
      <w:start w:val="1"/>
      <w:numFmt w:val="lowerRoman"/>
      <w:lvlText w:val="%6."/>
      <w:lvlJc w:val="right"/>
      <w:pPr>
        <w:ind w:left="3184" w:hanging="180"/>
      </w:pPr>
    </w:lvl>
    <w:lvl w:ilvl="6" w:tplc="0419000F" w:tentative="1">
      <w:start w:val="1"/>
      <w:numFmt w:val="decimal"/>
      <w:lvlText w:val="%7."/>
      <w:lvlJc w:val="left"/>
      <w:pPr>
        <w:ind w:left="3904" w:hanging="360"/>
      </w:pPr>
    </w:lvl>
    <w:lvl w:ilvl="7" w:tplc="04190019" w:tentative="1">
      <w:start w:val="1"/>
      <w:numFmt w:val="lowerLetter"/>
      <w:lvlText w:val="%8."/>
      <w:lvlJc w:val="left"/>
      <w:pPr>
        <w:ind w:left="4624" w:hanging="360"/>
      </w:pPr>
    </w:lvl>
    <w:lvl w:ilvl="8" w:tplc="0419001B" w:tentative="1">
      <w:start w:val="1"/>
      <w:numFmt w:val="lowerRoman"/>
      <w:lvlText w:val="%9."/>
      <w:lvlJc w:val="right"/>
      <w:pPr>
        <w:ind w:left="5344" w:hanging="180"/>
      </w:pPr>
    </w:lvl>
  </w:abstractNum>
  <w:abstractNum w:abstractNumId="3" w15:restartNumberingAfterBreak="0">
    <w:nsid w:val="22303E75"/>
    <w:multiLevelType w:val="hybridMultilevel"/>
    <w:tmpl w:val="1152C2AA"/>
    <w:lvl w:ilvl="0" w:tplc="8402A5B2">
      <w:start w:val="1"/>
      <w:numFmt w:val="lowerLetter"/>
      <w:lvlText w:val="(%1)"/>
      <w:lvlJc w:val="left"/>
      <w:pPr>
        <w:ind w:left="720" w:hanging="360"/>
      </w:pPr>
      <w:rPr>
        <w:rFonts w:hint="default"/>
        <w:i/>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367A21"/>
    <w:multiLevelType w:val="hybridMultilevel"/>
    <w:tmpl w:val="0EB6C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ED13DCC"/>
    <w:multiLevelType w:val="hybridMultilevel"/>
    <w:tmpl w:val="022A4E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0A021D8"/>
    <w:multiLevelType w:val="hybridMultilevel"/>
    <w:tmpl w:val="1FF0C60E"/>
    <w:lvl w:ilvl="0" w:tplc="F1CA516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EF2109"/>
    <w:multiLevelType w:val="hybridMultilevel"/>
    <w:tmpl w:val="01C2B8F0"/>
    <w:lvl w:ilvl="0" w:tplc="78DADA7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7764BC2"/>
    <w:multiLevelType w:val="hybridMultilevel"/>
    <w:tmpl w:val="1152C2AA"/>
    <w:lvl w:ilvl="0" w:tplc="8402A5B2">
      <w:start w:val="1"/>
      <w:numFmt w:val="lowerLetter"/>
      <w:lvlText w:val="(%1)"/>
      <w:lvlJc w:val="left"/>
      <w:pPr>
        <w:ind w:left="786" w:hanging="360"/>
      </w:pPr>
      <w:rPr>
        <w:rFonts w:hint="default"/>
        <w:i/>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AC7877"/>
    <w:multiLevelType w:val="hybridMultilevel"/>
    <w:tmpl w:val="1152C2AA"/>
    <w:lvl w:ilvl="0" w:tplc="8402A5B2">
      <w:start w:val="1"/>
      <w:numFmt w:val="lowerLetter"/>
      <w:lvlText w:val="(%1)"/>
      <w:lvlJc w:val="left"/>
      <w:pPr>
        <w:ind w:left="720" w:hanging="360"/>
      </w:pPr>
      <w:rPr>
        <w:rFonts w:hint="default"/>
        <w:i/>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3621D47"/>
    <w:multiLevelType w:val="hybridMultilevel"/>
    <w:tmpl w:val="DA0E07F6"/>
    <w:lvl w:ilvl="0" w:tplc="DDC44B24">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4E1D76"/>
    <w:multiLevelType w:val="hybridMultilevel"/>
    <w:tmpl w:val="FCEC72D2"/>
    <w:lvl w:ilvl="0" w:tplc="97DC42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8A07F1D"/>
    <w:multiLevelType w:val="hybridMultilevel"/>
    <w:tmpl w:val="B4581FB6"/>
    <w:lvl w:ilvl="0" w:tplc="2DB4B20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5E65A6"/>
    <w:multiLevelType w:val="hybridMultilevel"/>
    <w:tmpl w:val="00A4FD26"/>
    <w:lvl w:ilvl="0" w:tplc="1658A134">
      <w:start w:val="1"/>
      <w:numFmt w:val="low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741D6084"/>
    <w:multiLevelType w:val="hybridMultilevel"/>
    <w:tmpl w:val="E6F28C5C"/>
    <w:lvl w:ilvl="0" w:tplc="577A4812">
      <w:start w:val="1"/>
      <w:numFmt w:val="low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79E16C5B"/>
    <w:multiLevelType w:val="hybridMultilevel"/>
    <w:tmpl w:val="245AE0C2"/>
    <w:lvl w:ilvl="0" w:tplc="9072CE4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732926"/>
    <w:multiLevelType w:val="hybridMultilevel"/>
    <w:tmpl w:val="884AED5E"/>
    <w:lvl w:ilvl="0" w:tplc="00A622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DC667E"/>
    <w:multiLevelType w:val="hybridMultilevel"/>
    <w:tmpl w:val="55D2DF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E3C15C3"/>
    <w:multiLevelType w:val="hybridMultilevel"/>
    <w:tmpl w:val="75E2E4DC"/>
    <w:lvl w:ilvl="0" w:tplc="5A0CD7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7"/>
  </w:num>
  <w:num w:numId="3">
    <w:abstractNumId w:val="18"/>
  </w:num>
  <w:num w:numId="4">
    <w:abstractNumId w:val="10"/>
  </w:num>
  <w:num w:numId="5">
    <w:abstractNumId w:val="12"/>
  </w:num>
  <w:num w:numId="6">
    <w:abstractNumId w:val="4"/>
  </w:num>
  <w:num w:numId="7">
    <w:abstractNumId w:val="11"/>
  </w:num>
  <w:num w:numId="8">
    <w:abstractNumId w:val="17"/>
  </w:num>
  <w:num w:numId="9">
    <w:abstractNumId w:val="5"/>
  </w:num>
  <w:num w:numId="10">
    <w:abstractNumId w:val="15"/>
  </w:num>
  <w:num w:numId="11">
    <w:abstractNumId w:val="14"/>
  </w:num>
  <w:num w:numId="12">
    <w:abstractNumId w:val="8"/>
  </w:num>
  <w:num w:numId="13">
    <w:abstractNumId w:val="16"/>
  </w:num>
  <w:num w:numId="14">
    <w:abstractNumId w:val="2"/>
  </w:num>
  <w:num w:numId="15">
    <w:abstractNumId w:val="9"/>
  </w:num>
  <w:num w:numId="16">
    <w:abstractNumId w:val="3"/>
  </w:num>
  <w:num w:numId="17">
    <w:abstractNumId w:val="13"/>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MTcyMDUyMjWxNLJU0lEKTi0uzszPAymwqAUACdpKtiwAAAA="/>
  </w:docVars>
  <w:rsids>
    <w:rsidRoot w:val="00453D0D"/>
    <w:rsid w:val="000048C5"/>
    <w:rsid w:val="0005242E"/>
    <w:rsid w:val="00073051"/>
    <w:rsid w:val="000749EB"/>
    <w:rsid w:val="00077483"/>
    <w:rsid w:val="00090A08"/>
    <w:rsid w:val="000B0126"/>
    <w:rsid w:val="000F62E6"/>
    <w:rsid w:val="001141CA"/>
    <w:rsid w:val="001213E8"/>
    <w:rsid w:val="00125A34"/>
    <w:rsid w:val="00125AE7"/>
    <w:rsid w:val="00127E0C"/>
    <w:rsid w:val="00130B7E"/>
    <w:rsid w:val="0013775F"/>
    <w:rsid w:val="0014025D"/>
    <w:rsid w:val="00154C03"/>
    <w:rsid w:val="0017380B"/>
    <w:rsid w:val="00175949"/>
    <w:rsid w:val="00193782"/>
    <w:rsid w:val="001A23B6"/>
    <w:rsid w:val="001E0C6A"/>
    <w:rsid w:val="00205187"/>
    <w:rsid w:val="00207DCC"/>
    <w:rsid w:val="00213E48"/>
    <w:rsid w:val="0022578D"/>
    <w:rsid w:val="002263A1"/>
    <w:rsid w:val="00254061"/>
    <w:rsid w:val="0025738B"/>
    <w:rsid w:val="00273246"/>
    <w:rsid w:val="00294957"/>
    <w:rsid w:val="002D136C"/>
    <w:rsid w:val="002E0A0C"/>
    <w:rsid w:val="002F5A8A"/>
    <w:rsid w:val="00314012"/>
    <w:rsid w:val="00324225"/>
    <w:rsid w:val="00332ACD"/>
    <w:rsid w:val="0034246A"/>
    <w:rsid w:val="00392511"/>
    <w:rsid w:val="003F740D"/>
    <w:rsid w:val="00415A3A"/>
    <w:rsid w:val="00420536"/>
    <w:rsid w:val="00421F19"/>
    <w:rsid w:val="00436E75"/>
    <w:rsid w:val="00453D0D"/>
    <w:rsid w:val="0048234F"/>
    <w:rsid w:val="004A3469"/>
    <w:rsid w:val="00504F03"/>
    <w:rsid w:val="00506677"/>
    <w:rsid w:val="005104C3"/>
    <w:rsid w:val="00525B44"/>
    <w:rsid w:val="00533138"/>
    <w:rsid w:val="005417FD"/>
    <w:rsid w:val="00546F64"/>
    <w:rsid w:val="00562015"/>
    <w:rsid w:val="0059348B"/>
    <w:rsid w:val="00594A87"/>
    <w:rsid w:val="005C202E"/>
    <w:rsid w:val="005D05F1"/>
    <w:rsid w:val="00606F90"/>
    <w:rsid w:val="00626517"/>
    <w:rsid w:val="00632130"/>
    <w:rsid w:val="00651B74"/>
    <w:rsid w:val="00662EED"/>
    <w:rsid w:val="00667873"/>
    <w:rsid w:val="00673872"/>
    <w:rsid w:val="00675232"/>
    <w:rsid w:val="00680DE1"/>
    <w:rsid w:val="00683265"/>
    <w:rsid w:val="0069129B"/>
    <w:rsid w:val="00693BE3"/>
    <w:rsid w:val="006C1888"/>
    <w:rsid w:val="006D50A6"/>
    <w:rsid w:val="007266FB"/>
    <w:rsid w:val="00753EDA"/>
    <w:rsid w:val="00755AD7"/>
    <w:rsid w:val="00766D52"/>
    <w:rsid w:val="00773409"/>
    <w:rsid w:val="007969A0"/>
    <w:rsid w:val="007A54A1"/>
    <w:rsid w:val="007E185C"/>
    <w:rsid w:val="00816DF4"/>
    <w:rsid w:val="00866B9F"/>
    <w:rsid w:val="008A2410"/>
    <w:rsid w:val="008B6AE0"/>
    <w:rsid w:val="008E221E"/>
    <w:rsid w:val="00911CB7"/>
    <w:rsid w:val="00976453"/>
    <w:rsid w:val="009B2C73"/>
    <w:rsid w:val="009B46F4"/>
    <w:rsid w:val="009C2F13"/>
    <w:rsid w:val="009E2A61"/>
    <w:rsid w:val="009E3F01"/>
    <w:rsid w:val="00A15561"/>
    <w:rsid w:val="00A212A8"/>
    <w:rsid w:val="00A27A04"/>
    <w:rsid w:val="00A3235F"/>
    <w:rsid w:val="00A816BD"/>
    <w:rsid w:val="00A92455"/>
    <w:rsid w:val="00AA2A1B"/>
    <w:rsid w:val="00AB222A"/>
    <w:rsid w:val="00AB5A92"/>
    <w:rsid w:val="00AC0689"/>
    <w:rsid w:val="00AE093C"/>
    <w:rsid w:val="00B140FD"/>
    <w:rsid w:val="00B42039"/>
    <w:rsid w:val="00B57871"/>
    <w:rsid w:val="00B73396"/>
    <w:rsid w:val="00BA2389"/>
    <w:rsid w:val="00BB1FB4"/>
    <w:rsid w:val="00BB526F"/>
    <w:rsid w:val="00BF61C7"/>
    <w:rsid w:val="00C0666C"/>
    <w:rsid w:val="00C16F95"/>
    <w:rsid w:val="00C2002F"/>
    <w:rsid w:val="00C22D04"/>
    <w:rsid w:val="00C23BC5"/>
    <w:rsid w:val="00C25A9C"/>
    <w:rsid w:val="00C402C5"/>
    <w:rsid w:val="00C41DFF"/>
    <w:rsid w:val="00C46530"/>
    <w:rsid w:val="00C46B5C"/>
    <w:rsid w:val="00CA3D5A"/>
    <w:rsid w:val="00CA6796"/>
    <w:rsid w:val="00CB6CD8"/>
    <w:rsid w:val="00D311DC"/>
    <w:rsid w:val="00D33843"/>
    <w:rsid w:val="00D758A4"/>
    <w:rsid w:val="00DB1B01"/>
    <w:rsid w:val="00E3359B"/>
    <w:rsid w:val="00E40364"/>
    <w:rsid w:val="00E834B9"/>
    <w:rsid w:val="00E91E5B"/>
    <w:rsid w:val="00EB21A3"/>
    <w:rsid w:val="00EB78B7"/>
    <w:rsid w:val="00EF2E08"/>
    <w:rsid w:val="00F0058C"/>
    <w:rsid w:val="00F338EA"/>
    <w:rsid w:val="00F476F9"/>
    <w:rsid w:val="00F674C3"/>
    <w:rsid w:val="00F71FDA"/>
    <w:rsid w:val="00F82C32"/>
    <w:rsid w:val="00FB55EC"/>
    <w:rsid w:val="00FD644E"/>
    <w:rsid w:val="00FF19E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7C0D6"/>
  <w15:chartTrackingRefBased/>
  <w15:docId w15:val="{A066F37D-976C-4C53-8C14-C6458958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4061"/>
    <w:pPr>
      <w:ind w:left="720"/>
      <w:contextualSpacing/>
    </w:pPr>
  </w:style>
  <w:style w:type="paragraph" w:styleId="a4">
    <w:name w:val="Balloon Text"/>
    <w:basedOn w:val="a"/>
    <w:link w:val="a5"/>
    <w:uiPriority w:val="99"/>
    <w:semiHidden/>
    <w:unhideWhenUsed/>
    <w:rsid w:val="001141C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141CA"/>
    <w:rPr>
      <w:rFonts w:ascii="Segoe UI" w:hAnsi="Segoe UI" w:cs="Segoe UI"/>
      <w:sz w:val="18"/>
      <w:szCs w:val="18"/>
    </w:rPr>
  </w:style>
  <w:style w:type="paragraph" w:styleId="a6">
    <w:name w:val="header"/>
    <w:basedOn w:val="a"/>
    <w:link w:val="a7"/>
    <w:uiPriority w:val="99"/>
    <w:unhideWhenUsed/>
    <w:rsid w:val="005934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348B"/>
  </w:style>
  <w:style w:type="paragraph" w:styleId="a8">
    <w:name w:val="footer"/>
    <w:basedOn w:val="a"/>
    <w:link w:val="a9"/>
    <w:uiPriority w:val="99"/>
    <w:unhideWhenUsed/>
    <w:rsid w:val="005934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348B"/>
  </w:style>
  <w:style w:type="paragraph" w:styleId="aa">
    <w:name w:val="Normal (Web)"/>
    <w:basedOn w:val="a"/>
    <w:uiPriority w:val="99"/>
    <w:semiHidden/>
    <w:unhideWhenUsed/>
    <w:rsid w:val="00A323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458704">
      <w:bodyDiv w:val="1"/>
      <w:marLeft w:val="0"/>
      <w:marRight w:val="0"/>
      <w:marTop w:val="0"/>
      <w:marBottom w:val="0"/>
      <w:divBdr>
        <w:top w:val="none" w:sz="0" w:space="0" w:color="auto"/>
        <w:left w:val="none" w:sz="0" w:space="0" w:color="auto"/>
        <w:bottom w:val="none" w:sz="0" w:space="0" w:color="auto"/>
        <w:right w:val="none" w:sz="0" w:space="0" w:color="auto"/>
      </w:divBdr>
      <w:divsChild>
        <w:div w:id="163936325">
          <w:marLeft w:val="0"/>
          <w:marRight w:val="0"/>
          <w:marTop w:val="0"/>
          <w:marBottom w:val="0"/>
          <w:divBdr>
            <w:top w:val="none" w:sz="0" w:space="0" w:color="auto"/>
            <w:left w:val="none" w:sz="0" w:space="0" w:color="auto"/>
            <w:bottom w:val="none" w:sz="0" w:space="0" w:color="auto"/>
            <w:right w:val="none" w:sz="0" w:space="0" w:color="auto"/>
          </w:divBdr>
          <w:divsChild>
            <w:div w:id="1115372622">
              <w:marLeft w:val="0"/>
              <w:marRight w:val="0"/>
              <w:marTop w:val="0"/>
              <w:marBottom w:val="0"/>
              <w:divBdr>
                <w:top w:val="none" w:sz="0" w:space="0" w:color="auto"/>
                <w:left w:val="none" w:sz="0" w:space="0" w:color="auto"/>
                <w:bottom w:val="none" w:sz="0" w:space="0" w:color="auto"/>
                <w:right w:val="none" w:sz="0" w:space="0" w:color="auto"/>
              </w:divBdr>
              <w:divsChild>
                <w:div w:id="87785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89A01-D9F7-2542-B76D-B09B8628E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834</Words>
  <Characters>4754</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Khamit MR</dc:creator>
  <cp:keywords/>
  <dc:description/>
  <cp:lastModifiedBy>WW</cp:lastModifiedBy>
  <cp:revision>11</cp:revision>
  <cp:lastPrinted>2020-10-13T05:26:00Z</cp:lastPrinted>
  <dcterms:created xsi:type="dcterms:W3CDTF">2020-11-05T11:07:00Z</dcterms:created>
  <dcterms:modified xsi:type="dcterms:W3CDTF">2020-11-06T12:39:00Z</dcterms:modified>
</cp:coreProperties>
</file>